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color w:val="FF0000"/>
          <w:sz w:val="40"/>
          <w:szCs w:val="40"/>
          <w:u w:val="single"/>
        </w:rPr>
      </w:pPr>
      <w:r w:rsidRPr="000B1169">
        <w:rPr>
          <w:b/>
          <w:color w:val="FF0000"/>
          <w:sz w:val="40"/>
          <w:szCs w:val="40"/>
          <w:u w:val="single"/>
        </w:rPr>
        <w:t>Приемы по стимулированию речи детей раннего возраста.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color w:val="FF0000"/>
          <w:sz w:val="32"/>
          <w:szCs w:val="32"/>
        </w:rPr>
      </w:pPr>
      <w:r w:rsidRPr="000B1169">
        <w:rPr>
          <w:b/>
          <w:bCs/>
          <w:i/>
          <w:iCs/>
          <w:color w:val="FF0000"/>
          <w:sz w:val="32"/>
          <w:szCs w:val="32"/>
        </w:rPr>
        <w:t>“Разговор с самим собой”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>Когда малыш находится недалеко от вас, начните говорить вслух о том, что вы видите, слышите, думаете, чувствуете. Говорить нужно медленно и отчётливо, короткими простыми предложениями – доступными восприятию ребёнка. Например: “Где чашка?”, “Я вижу чашку”, “Чашка стоит на столе”, “В чашке чай”, “Я буду пить чай”.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color w:val="FF0000"/>
          <w:sz w:val="32"/>
          <w:szCs w:val="32"/>
        </w:rPr>
      </w:pPr>
      <w:r w:rsidRPr="000B1169">
        <w:rPr>
          <w:b/>
          <w:bCs/>
          <w:i/>
          <w:iCs/>
          <w:color w:val="FF0000"/>
          <w:sz w:val="32"/>
          <w:szCs w:val="32"/>
        </w:rPr>
        <w:t>“Параллельный разговор”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>Этот приём отличается от предыдущего тем, что вы описываете все действия ребёнка: что он видит, слышит, чувствует, трогает. Используя “параллельный разговор”, вы как бы подсказываете ребёнку слова, выражающие его опыт, слова, которые впоследствии он начнёт использовать самостоятельно.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color w:val="FF0000"/>
          <w:sz w:val="32"/>
          <w:szCs w:val="32"/>
        </w:rPr>
      </w:pPr>
      <w:r w:rsidRPr="000B1169">
        <w:rPr>
          <w:b/>
          <w:bCs/>
          <w:i/>
          <w:iCs/>
          <w:color w:val="FF0000"/>
          <w:sz w:val="32"/>
          <w:szCs w:val="32"/>
        </w:rPr>
        <w:t>“Провокация, или искусственное непонимание ребёнка”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>Этот приём помогает ребёнку освоить ситуативную речь и состоит в том, что взрослый не спешит проявить свою понятливость. Например, если малыш показывает на полку с игрушками, смотрит на вас, и вы хорошо понимаете, что нужно ему в данный момент. Попробуйте дать ему не ту игрушку. Конечно же, первой реакцией ребёнка будет возмущение вашей непонятливостью, но это будет и первым мотивом, стимулирующим малыша назвать нужный ему предмет. При возникновении затруднения подскажите малышу: “Я не понимаю, что ты хочешь: кошку, куклу или машинку? ” В подобных ситуациях ребёнок охотно активизирует свои речевые возможности, чувствуя себя намного сообразительнее взрослого. Этот приём эффективен не только для называния предметов, но и словесного обозначения действий.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color w:val="FF0000"/>
          <w:sz w:val="32"/>
          <w:szCs w:val="32"/>
        </w:rPr>
      </w:pPr>
      <w:r w:rsidRPr="000B1169">
        <w:rPr>
          <w:b/>
          <w:bCs/>
          <w:i/>
          <w:iCs/>
          <w:color w:val="FF0000"/>
          <w:sz w:val="32"/>
          <w:szCs w:val="32"/>
        </w:rPr>
        <w:t>“Приговоры”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 xml:space="preserve">Использование игровых песенок, </w:t>
      </w:r>
      <w:proofErr w:type="spellStart"/>
      <w:r w:rsidRPr="000B1169">
        <w:rPr>
          <w:sz w:val="32"/>
          <w:szCs w:val="32"/>
        </w:rPr>
        <w:t>потешек</w:t>
      </w:r>
      <w:proofErr w:type="spellEnd"/>
      <w:r w:rsidRPr="000B1169">
        <w:rPr>
          <w:sz w:val="32"/>
          <w:szCs w:val="32"/>
        </w:rPr>
        <w:t xml:space="preserve">, приговоров в совместной деятельности с детьми доставляет им огромную радость. Сопровождение действий ребёнка словами способствует непроизвольному обучению его умения вслушиваться в звуки речи, улавливать её ритм, отдельные звукосочетания и </w:t>
      </w:r>
      <w:r w:rsidRPr="000B1169">
        <w:rPr>
          <w:sz w:val="32"/>
          <w:szCs w:val="32"/>
        </w:rPr>
        <w:lastRenderedPageBreak/>
        <w:t xml:space="preserve">постепенно проникать в их смысл. Немаловажное значение фольклорных произведений состоит в том, что они удовлетворяют потребность малыша в эмоциональном и тактильном (прикосновения и поглаживания) контакте с взрослыми. Большинство детей по своей природе – </w:t>
      </w:r>
      <w:proofErr w:type="spellStart"/>
      <w:r w:rsidRPr="000B1169">
        <w:rPr>
          <w:sz w:val="32"/>
          <w:szCs w:val="32"/>
        </w:rPr>
        <w:t>кинестетики</w:t>
      </w:r>
      <w:proofErr w:type="spellEnd"/>
      <w:r w:rsidRPr="000B1169">
        <w:rPr>
          <w:sz w:val="32"/>
          <w:szCs w:val="32"/>
        </w:rPr>
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color w:val="FF0000"/>
          <w:sz w:val="32"/>
          <w:szCs w:val="32"/>
        </w:rPr>
      </w:pPr>
      <w:r w:rsidRPr="000B1169">
        <w:rPr>
          <w:b/>
          <w:bCs/>
          <w:i/>
          <w:iCs/>
          <w:color w:val="FF0000"/>
          <w:sz w:val="32"/>
          <w:szCs w:val="32"/>
        </w:rPr>
        <w:t>“Игры с природным материалом”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>Огромное влияние на рост речевой и познавательной активности ребёнка оказывают разнообразие и доступность объектов, которые он время от времени может исследовать: смотреть, трогать, пробовать на вкус, экспериментировать... (ребёнок рвётся к песку, воде, глине). В “возне” с ними заключён большой смысл: ребёнок занят делом, он знакомится с материалом, изучает его свойства...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color w:val="FF0000"/>
          <w:sz w:val="32"/>
          <w:szCs w:val="32"/>
        </w:rPr>
      </w:pPr>
      <w:r w:rsidRPr="000B1169">
        <w:rPr>
          <w:b/>
          <w:bCs/>
          <w:i/>
          <w:iCs/>
          <w:color w:val="FF0000"/>
          <w:sz w:val="32"/>
          <w:szCs w:val="32"/>
        </w:rPr>
        <w:t>“Замещение”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 xml:space="preserve">“Представь, что...” - эти слова наполнены для ребёнка притягательной силой. В этом возрасте ребёнок с удовольствием представляет, что кубик – пирожок, коробка </w:t>
      </w:r>
      <w:proofErr w:type="gramStart"/>
      <w:r w:rsidRPr="000B1169">
        <w:rPr>
          <w:sz w:val="32"/>
          <w:szCs w:val="32"/>
        </w:rPr>
        <w:t>из</w:t>
      </w:r>
      <w:proofErr w:type="gramEnd"/>
      <w:r w:rsidRPr="000B1169">
        <w:rPr>
          <w:sz w:val="32"/>
          <w:szCs w:val="32"/>
        </w:rPr>
        <w:t xml:space="preserve"> – под обуви – домик... В этом возрасте детям очень нравятся игры – пантомимы, игры – имитации, которые активизируют наблюдательность и любознательность ребёнка. Вовлечь ребёнка можно в игру вопросом – предложением: “Угадай, что я сейчас делаю?” Начинайте с простых действий: причёсываюсь, чищу зубы, наливаю сок в чашку...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color w:val="FF0000"/>
          <w:sz w:val="32"/>
          <w:szCs w:val="32"/>
        </w:rPr>
      </w:pPr>
      <w:r w:rsidRPr="000B1169">
        <w:rPr>
          <w:b/>
          <w:bCs/>
          <w:i/>
          <w:iCs/>
          <w:color w:val="FF0000"/>
          <w:sz w:val="32"/>
          <w:szCs w:val="32"/>
        </w:rPr>
        <w:t>“Ролевая игра”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>Этот вид детской деятельности только ещё формируется.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>Например, игра в телефон, когда ребёнок, используя игрушечный аппарат, может звонить маме, папе. Эта игра стимулирует речевое развитие ребёнка, формирует уверенность в себе, повышает функцию общения. Поощряйте склонность детей к подражанию – это развивает внимательность к деталям, осознание прямого и переносного смысла слов.</w:t>
      </w:r>
    </w:p>
    <w:p w:rsidR="006B63DC" w:rsidRDefault="006B63DC" w:rsidP="000B116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FF0000"/>
          <w:sz w:val="32"/>
          <w:szCs w:val="32"/>
        </w:rPr>
      </w:pPr>
    </w:p>
    <w:p w:rsidR="006B63DC" w:rsidRDefault="006B63DC" w:rsidP="000B1169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FF0000"/>
          <w:sz w:val="32"/>
          <w:szCs w:val="32"/>
        </w:rPr>
      </w:pP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color w:val="FF0000"/>
          <w:sz w:val="32"/>
          <w:szCs w:val="32"/>
        </w:rPr>
      </w:pPr>
      <w:bookmarkStart w:id="0" w:name="_GoBack"/>
      <w:bookmarkEnd w:id="0"/>
      <w:r w:rsidRPr="000B1169">
        <w:rPr>
          <w:b/>
          <w:bCs/>
          <w:i/>
          <w:iCs/>
          <w:color w:val="FF0000"/>
          <w:sz w:val="32"/>
          <w:szCs w:val="32"/>
        </w:rPr>
        <w:lastRenderedPageBreak/>
        <w:t>“Музыкальные игры”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 xml:space="preserve">Значимые игры в речевом развитии ребёнка. Дети с удовольствием подпевают, обожают музыкальные инструменты, игры “Каравай”, “По кочкам”... Поощряйте желание ребёнка двигаться под музыку, подпевать. Ничего страшного в том нет, что ребёнок проговаривает только окончания или последние слова. Впоследствии ребёнок начнёт </w:t>
      </w:r>
      <w:proofErr w:type="spellStart"/>
      <w:r w:rsidRPr="000B1169">
        <w:rPr>
          <w:sz w:val="32"/>
          <w:szCs w:val="32"/>
        </w:rPr>
        <w:t>пропевать</w:t>
      </w:r>
      <w:proofErr w:type="spellEnd"/>
      <w:r w:rsidRPr="000B1169">
        <w:rPr>
          <w:sz w:val="32"/>
          <w:szCs w:val="32"/>
        </w:rPr>
        <w:t xml:space="preserve"> небольшие песенки целиком; помогайте ему, пойте вместе с ним.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b/>
          <w:color w:val="7030A0"/>
          <w:sz w:val="32"/>
          <w:szCs w:val="32"/>
        </w:rPr>
      </w:pPr>
      <w:r w:rsidRPr="000B1169">
        <w:rPr>
          <w:b/>
          <w:color w:val="7030A0"/>
          <w:sz w:val="32"/>
          <w:szCs w:val="32"/>
        </w:rPr>
        <w:t>Очень важно помнить о том, что речь взрослого является образцом для речи ребёнка!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jc w:val="center"/>
        <w:rPr>
          <w:color w:val="0070C0"/>
          <w:sz w:val="32"/>
          <w:szCs w:val="32"/>
        </w:rPr>
      </w:pPr>
      <w:r w:rsidRPr="000B1169">
        <w:rPr>
          <w:color w:val="0070C0"/>
          <w:sz w:val="32"/>
          <w:szCs w:val="32"/>
        </w:rPr>
        <w:t>Речь взрослого должна быть: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>- чёткой, неторопливой;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>- доступной для понимания малыша, то есть не перегруженной труднопроизносимыми словами и сложными предложениями;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 xml:space="preserve">- грамотной, не содержащей </w:t>
      </w:r>
      <w:proofErr w:type="spellStart"/>
      <w:r w:rsidRPr="000B1169">
        <w:rPr>
          <w:sz w:val="32"/>
          <w:szCs w:val="32"/>
        </w:rPr>
        <w:t>лепетных</w:t>
      </w:r>
      <w:proofErr w:type="spellEnd"/>
      <w:r w:rsidRPr="000B1169">
        <w:rPr>
          <w:sz w:val="32"/>
          <w:szCs w:val="32"/>
        </w:rPr>
        <w:t xml:space="preserve"> слов и искажений звукопроизношения.</w:t>
      </w:r>
    </w:p>
    <w:p w:rsidR="000B1169" w:rsidRPr="000B1169" w:rsidRDefault="000B1169" w:rsidP="000B1169">
      <w:pPr>
        <w:pStyle w:val="a3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0B1169">
        <w:rPr>
          <w:sz w:val="32"/>
          <w:szCs w:val="32"/>
        </w:rPr>
        <w:t xml:space="preserve">Таким образом, чем чаще родители будут разговаривать с ребёнком, не переутомляя его, и доступным, правильным языком, рассказывать ему сказки, разучивать вместе с ним стихотворения, </w:t>
      </w:r>
      <w:proofErr w:type="spellStart"/>
      <w:r w:rsidRPr="000B1169">
        <w:rPr>
          <w:sz w:val="32"/>
          <w:szCs w:val="32"/>
        </w:rPr>
        <w:t>потешки</w:t>
      </w:r>
      <w:proofErr w:type="spellEnd"/>
      <w:r w:rsidRPr="000B1169">
        <w:rPr>
          <w:sz w:val="32"/>
          <w:szCs w:val="32"/>
        </w:rPr>
        <w:t>, играть, тем скорее он овладеет правильной речью!</w:t>
      </w:r>
    </w:p>
    <w:p w:rsidR="00D345D6" w:rsidRPr="000B1169" w:rsidRDefault="00D345D6" w:rsidP="000B1169">
      <w:pPr>
        <w:rPr>
          <w:rFonts w:ascii="Times New Roman" w:hAnsi="Times New Roman" w:cs="Times New Roman"/>
          <w:sz w:val="32"/>
          <w:szCs w:val="32"/>
        </w:rPr>
      </w:pPr>
    </w:p>
    <w:p w:rsidR="000B1169" w:rsidRPr="000B1169" w:rsidRDefault="000B1169" w:rsidP="000B1169">
      <w:pPr>
        <w:rPr>
          <w:rFonts w:ascii="Times New Roman" w:hAnsi="Times New Roman" w:cs="Times New Roman"/>
          <w:sz w:val="32"/>
          <w:szCs w:val="32"/>
        </w:rPr>
      </w:pPr>
      <w:r w:rsidRPr="000B1169">
        <w:rPr>
          <w:noProof/>
          <w:lang w:eastAsia="ru-RU"/>
        </w:rPr>
        <w:drawing>
          <wp:inline distT="0" distB="0" distL="0" distR="0">
            <wp:extent cx="5398316" cy="3267075"/>
            <wp:effectExtent l="19050" t="0" r="0" b="0"/>
            <wp:docPr id="1" name="Рисунок 3" descr="Картинки по запросу ребенок дошкольник 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ебенок дошкольник 2 го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74" cy="327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169" w:rsidRPr="000B1169" w:rsidSect="006B63DC">
      <w:pgSz w:w="11906" w:h="16838"/>
      <w:pgMar w:top="1134" w:right="1133" w:bottom="1134" w:left="1701" w:header="708" w:footer="708" w:gutter="0"/>
      <w:pgBorders w:offsetFrom="page">
        <w:top w:val="flowersBlockPrint" w:sz="21" w:space="24" w:color="5F497A" w:themeColor="accent4" w:themeShade="BF"/>
        <w:left w:val="flowersBlockPrint" w:sz="21" w:space="24" w:color="5F497A" w:themeColor="accent4" w:themeShade="BF"/>
        <w:bottom w:val="flowersBlockPrint" w:sz="21" w:space="24" w:color="5F497A" w:themeColor="accent4" w:themeShade="BF"/>
        <w:right w:val="flowersBlockPrint" w:sz="21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169"/>
    <w:rsid w:val="000B1169"/>
    <w:rsid w:val="000E636D"/>
    <w:rsid w:val="006B63DC"/>
    <w:rsid w:val="00C401DF"/>
    <w:rsid w:val="00D3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11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cp:lastPrinted>2020-11-19T08:29:00Z</cp:lastPrinted>
  <dcterms:created xsi:type="dcterms:W3CDTF">2019-10-07T05:58:00Z</dcterms:created>
  <dcterms:modified xsi:type="dcterms:W3CDTF">2020-11-19T08:31:00Z</dcterms:modified>
</cp:coreProperties>
</file>